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30043E1E" w:rsidR="00D87EB5" w:rsidRPr="00D87EB5" w:rsidRDefault="00896E4D"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Visite d’un verger bio</w:t>
      </w:r>
    </w:p>
    <w:p w14:paraId="01662971" w14:textId="3FE154B7" w:rsidR="00505A52" w:rsidRDefault="00B275FB" w:rsidP="00505A52">
      <w:pPr>
        <w:pStyle w:val="NormalWeb"/>
        <w:jc w:val="center"/>
        <w:rPr>
          <w:rFonts w:asciiTheme="majorHAnsi" w:hAnsiTheme="majorHAnsi" w:cstheme="majorHAnsi"/>
        </w:rPr>
      </w:pPr>
      <w:r>
        <w:rPr>
          <w:rStyle w:val="lev"/>
          <w:rFonts w:asciiTheme="majorHAnsi" w:hAnsiTheme="majorHAnsi" w:cstheme="majorHAnsi"/>
        </w:rPr>
        <w:t>c</w:t>
      </w:r>
      <w:r w:rsidR="00D87EB5" w:rsidRPr="00D87EB5">
        <w:rPr>
          <w:rStyle w:val="lev"/>
          <w:rFonts w:asciiTheme="majorHAnsi" w:hAnsiTheme="majorHAnsi" w:cstheme="majorHAnsi"/>
        </w:rPr>
        <w:t>ompte</w:t>
      </w:r>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896E4D">
        <w:rPr>
          <w:rStyle w:val="lev"/>
          <w:rFonts w:asciiTheme="majorHAnsi" w:hAnsiTheme="majorHAnsi" w:cstheme="majorHAnsi"/>
        </w:rPr>
        <w:t xml:space="preserve">la visite </w:t>
      </w:r>
      <w:r w:rsidR="00D87EB5" w:rsidRPr="00D87EB5">
        <w:rPr>
          <w:rStyle w:val="lev"/>
          <w:rFonts w:asciiTheme="majorHAnsi" w:hAnsiTheme="majorHAnsi" w:cstheme="majorHAnsi"/>
        </w:rPr>
        <w:t xml:space="preserve">du </w:t>
      </w:r>
      <w:r w:rsidR="00594CD3">
        <w:rPr>
          <w:rStyle w:val="lev"/>
          <w:rFonts w:asciiTheme="majorHAnsi" w:hAnsiTheme="majorHAnsi" w:cstheme="majorHAnsi"/>
        </w:rPr>
        <w:t>1</w:t>
      </w:r>
      <w:r w:rsidR="00896E4D">
        <w:rPr>
          <w:rStyle w:val="lev"/>
          <w:rFonts w:asciiTheme="majorHAnsi" w:hAnsiTheme="majorHAnsi" w:cstheme="majorHAnsi"/>
        </w:rPr>
        <w:t>0 juin 2011</w:t>
      </w:r>
      <w:r w:rsidR="00D87EB5" w:rsidRPr="00D87EB5">
        <w:rPr>
          <w:rFonts w:asciiTheme="majorHAnsi" w:hAnsiTheme="majorHAnsi" w:cstheme="majorHAnsi"/>
          <w:b/>
          <w:bCs/>
        </w:rPr>
        <w:br/>
      </w:r>
      <w:r w:rsidR="002341C4">
        <w:rPr>
          <w:rFonts w:asciiTheme="majorHAnsi" w:hAnsiTheme="majorHAnsi" w:cstheme="majorHAnsi"/>
        </w:rPr>
        <w:t>Animateur </w:t>
      </w:r>
      <w:r w:rsidR="00AE17C0">
        <w:rPr>
          <w:rFonts w:asciiTheme="majorHAnsi" w:hAnsiTheme="majorHAnsi" w:cstheme="majorHAnsi"/>
        </w:rPr>
        <w:t xml:space="preserve">– </w:t>
      </w:r>
      <w:r w:rsidR="00896E4D">
        <w:rPr>
          <w:rFonts w:asciiTheme="majorHAnsi" w:hAnsiTheme="majorHAnsi" w:cstheme="majorHAnsi"/>
        </w:rPr>
        <w:t>Alex Franc</w:t>
      </w:r>
      <w:r w:rsidR="00D87EB5" w:rsidRPr="00D87EB5">
        <w:rPr>
          <w:rFonts w:asciiTheme="majorHAnsi" w:hAnsiTheme="majorHAnsi" w:cstheme="majorHAnsi"/>
        </w:rPr>
        <w:br/>
      </w:r>
    </w:p>
    <w:p w14:paraId="163A275E" w14:textId="086150EF" w:rsidR="00AE17C0" w:rsidRDefault="00AE17C0" w:rsidP="00AE17C0">
      <w:pPr>
        <w:pStyle w:val="NormalWeb"/>
        <w:rPr>
          <w:rFonts w:asciiTheme="majorHAnsi" w:hAnsiTheme="majorHAnsi" w:cstheme="majorHAnsi"/>
        </w:rPr>
      </w:pPr>
      <w:r>
        <w:rPr>
          <w:rFonts w:asciiTheme="majorHAnsi" w:hAnsiTheme="majorHAnsi" w:cstheme="majorHAnsi"/>
        </w:rPr>
        <w:t xml:space="preserve">Lieu : </w:t>
      </w:r>
      <w:r w:rsidR="00896E4D">
        <w:rPr>
          <w:rFonts w:asciiTheme="majorHAnsi" w:hAnsiTheme="majorHAnsi" w:cstheme="majorHAnsi"/>
        </w:rPr>
        <w:t>Saint-Quirc, Ariège (09)</w:t>
      </w:r>
    </w:p>
    <w:p w14:paraId="42DB03C6" w14:textId="790A61B1" w:rsidR="00DC0250" w:rsidRPr="00DC0250" w:rsidRDefault="00DC0250" w:rsidP="00DC0250">
      <w:pPr>
        <w:pStyle w:val="NormalWeb"/>
        <w:spacing w:before="0" w:beforeAutospacing="0" w:after="0" w:afterAutospacing="0"/>
        <w:jc w:val="both"/>
        <w:rPr>
          <w:rStyle w:val="lev"/>
          <w:rFonts w:asciiTheme="majorHAnsi" w:hAnsiTheme="majorHAnsi" w:cstheme="majorHAnsi"/>
          <w:i/>
          <w:iCs/>
        </w:rPr>
      </w:pPr>
      <w:r w:rsidRPr="00DC0250">
        <w:rPr>
          <w:rStyle w:val="lev"/>
          <w:rFonts w:asciiTheme="majorHAnsi" w:hAnsiTheme="majorHAnsi" w:cstheme="majorHAnsi"/>
          <w:i/>
          <w:iCs/>
        </w:rPr>
        <w:t>FUMURE ET TRAVAIL DU SOL</w:t>
      </w:r>
    </w:p>
    <w:p w14:paraId="48D3F1A5"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Style w:val="lev"/>
          <w:rFonts w:asciiTheme="majorHAnsi" w:hAnsiTheme="majorHAnsi" w:cstheme="majorHAnsi"/>
        </w:rPr>
        <w:t xml:space="preserve"> </w:t>
      </w:r>
      <w:r w:rsidRPr="00DC0250">
        <w:rPr>
          <w:rFonts w:asciiTheme="majorHAnsi" w:hAnsiTheme="majorHAnsi" w:cstheme="majorHAnsi"/>
        </w:rPr>
        <w:br/>
        <w:t xml:space="preserve">Seul travail du sol intéressant : sous la frondaison au mois de mars. Limiter le travail du sol après la mi-mai (réchauffement du sol et accélération de la libération d'azote disponible pour les pucerons). </w:t>
      </w:r>
      <w:r w:rsidRPr="00DC0250">
        <w:rPr>
          <w:rFonts w:asciiTheme="majorHAnsi" w:hAnsiTheme="majorHAnsi" w:cstheme="majorHAnsi"/>
        </w:rPr>
        <w:br/>
        <w:t xml:space="preserve">Pailler après le mois de mars. </w:t>
      </w:r>
    </w:p>
    <w:p w14:paraId="7FAB24D6"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Épandage de compost à l'automne, sans enterrer; éventuellement ensuite engrais. </w:t>
      </w:r>
    </w:p>
    <w:p w14:paraId="1E17E5F1"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Au printemps, pour donner un coup de fouet si nécessaire : farine de plumes, vinasse de betteraves ou guano de poisson. </w:t>
      </w:r>
    </w:p>
    <w:p w14:paraId="5D3B9A57"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Besoin en eau du pommier : 10 à 25 mm d'eau par semaine entre juin et septembre.</w:t>
      </w:r>
    </w:p>
    <w:p w14:paraId="66B51C93" w14:textId="68A8A78F" w:rsidR="00DC0250" w:rsidRPr="00DC0250" w:rsidRDefault="00DC0250" w:rsidP="00DC0250">
      <w:pPr>
        <w:pStyle w:val="NormalWeb"/>
        <w:spacing w:before="0" w:beforeAutospacing="0" w:after="0" w:afterAutospacing="0"/>
        <w:jc w:val="both"/>
        <w:rPr>
          <w:rStyle w:val="lev"/>
          <w:rFonts w:asciiTheme="majorHAnsi" w:hAnsiTheme="majorHAnsi" w:cstheme="majorHAnsi"/>
          <w:i/>
          <w:iCs/>
        </w:rPr>
      </w:pPr>
      <w:r w:rsidRPr="00DC0250">
        <w:rPr>
          <w:rFonts w:asciiTheme="majorHAnsi" w:hAnsiTheme="majorHAnsi" w:cstheme="majorHAnsi"/>
        </w:rPr>
        <w:t xml:space="preserve"> </w:t>
      </w:r>
      <w:r w:rsidRPr="00DC0250">
        <w:rPr>
          <w:rFonts w:asciiTheme="majorHAnsi" w:hAnsiTheme="majorHAnsi" w:cstheme="majorHAnsi"/>
        </w:rPr>
        <w:br/>
      </w:r>
      <w:r w:rsidRPr="00DC0250">
        <w:rPr>
          <w:rFonts w:asciiTheme="majorHAnsi" w:hAnsiTheme="majorHAnsi" w:cstheme="majorHAnsi"/>
        </w:rPr>
        <w:br/>
      </w:r>
      <w:r w:rsidRPr="00DC0250">
        <w:rPr>
          <w:rStyle w:val="lev"/>
          <w:rFonts w:asciiTheme="majorHAnsi" w:hAnsiTheme="majorHAnsi" w:cstheme="majorHAnsi"/>
          <w:i/>
          <w:iCs/>
        </w:rPr>
        <w:t>LA TAVELURE DES POMMIERS, POIRIERS</w:t>
      </w:r>
    </w:p>
    <w:p w14:paraId="647C58DF"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Si feuillage humide dans la journée, risque de tavelure. En avril-mai, bien traiter après pluie au cuivre (oxychlorure) + soufre. Renouveler le traitement après une pluie de 20 mm. </w:t>
      </w:r>
    </w:p>
    <w:p w14:paraId="36568A38"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Contre la tavelure, utiliser le purin de prêle en avril-mai. </w:t>
      </w:r>
    </w:p>
    <w:p w14:paraId="1A1EFBEB" w14:textId="2930F603"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t xml:space="preserve">Comme mouillant et surtout stimulant des défenses naturelles de l'arbre, on peut utiliser 2 grains de sucre par machine de bouillie bordelaise (à l'automne). </w:t>
      </w:r>
    </w:p>
    <w:p w14:paraId="3E3E53A7"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Variété résistante Ariane, a peu de goût. </w:t>
      </w:r>
    </w:p>
    <w:p w14:paraId="13619C3A" w14:textId="6D0C18C5" w:rsidR="00DC0250" w:rsidRPr="00DC0250" w:rsidRDefault="00DC0250" w:rsidP="00DC0250">
      <w:pPr>
        <w:pStyle w:val="NormalWeb"/>
        <w:spacing w:before="0" w:beforeAutospacing="0" w:after="0" w:afterAutospacing="0"/>
        <w:jc w:val="both"/>
        <w:rPr>
          <w:rStyle w:val="lev"/>
          <w:rFonts w:asciiTheme="majorHAnsi" w:hAnsiTheme="majorHAnsi" w:cstheme="majorHAnsi"/>
          <w:i/>
          <w:iCs/>
        </w:rPr>
      </w:pPr>
      <w:r w:rsidRPr="00DC0250">
        <w:rPr>
          <w:rFonts w:asciiTheme="majorHAnsi" w:hAnsiTheme="majorHAnsi" w:cstheme="majorHAnsi"/>
        </w:rPr>
        <w:br/>
      </w:r>
      <w:r w:rsidRPr="00DC0250">
        <w:rPr>
          <w:rFonts w:asciiTheme="majorHAnsi" w:hAnsiTheme="majorHAnsi" w:cstheme="majorHAnsi"/>
        </w:rPr>
        <w:br/>
      </w:r>
      <w:r w:rsidRPr="00DC0250">
        <w:rPr>
          <w:rStyle w:val="lev"/>
          <w:rFonts w:asciiTheme="majorHAnsi" w:hAnsiTheme="majorHAnsi" w:cstheme="majorHAnsi"/>
          <w:i/>
          <w:iCs/>
        </w:rPr>
        <w:t>LES PUCERONS</w:t>
      </w:r>
    </w:p>
    <w:p w14:paraId="513A7AFC" w14:textId="77777777" w:rsidR="00DC0250" w:rsidRDefault="00DC0250" w:rsidP="00DC0250">
      <w:pPr>
        <w:pStyle w:val="NormalWeb"/>
        <w:spacing w:before="0" w:beforeAutospacing="0" w:after="0" w:afterAutospacing="0"/>
        <w:jc w:val="both"/>
        <w:rPr>
          <w:rFonts w:asciiTheme="majorHAnsi" w:hAnsiTheme="majorHAnsi" w:cstheme="majorHAnsi"/>
        </w:rPr>
      </w:pPr>
    </w:p>
    <w:p w14:paraId="6A752EDC"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t xml:space="preserve">Le puceron cendré pond à l'automne sur le feuillage en train de chuter. </w:t>
      </w:r>
    </w:p>
    <w:p w14:paraId="319C614B" w14:textId="2C938E82"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t>Éclosion début mars où les femelles fondatrices griment à l'arbre.</w:t>
      </w:r>
    </w:p>
    <w:p w14:paraId="1D4D566E" w14:textId="1F235624"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t xml:space="preserve">Après récolte, à l'automne, pulvériser sur feuilles en plusieurs fois de l'argile (se trouve chez PCEB, à Carcassonne ou Limoux), 5 kg d'argile pour 100 l d'eau et un l de solution par arbre, pour limiter les pontes (barrière physique). Bien rincer l'appareil sitôt après. </w:t>
      </w:r>
    </w:p>
    <w:p w14:paraId="0200AA21"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lastRenderedPageBreak/>
        <w:br/>
        <w:t>Au printemps, vers le début mars, un jour sans gel à 15°C, pulvériser de l'huile de paraffine sur le tronc jusqu'à un mètre de hauteur, à mélanger avec un peu d'eau. Un litre pour 50 arbres.</w:t>
      </w:r>
    </w:p>
    <w:p w14:paraId="74BE7D91"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Contre le puceron lanigère, le soufre mouillable est efficace (en mélange avec de l'huile au début du printemps). </w:t>
      </w:r>
    </w:p>
    <w:p w14:paraId="2B0AFA0A" w14:textId="125307D3"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Le purin d'ortie est à utiliser juste après la floraison, sinon il favorise le puceron. </w:t>
      </w:r>
      <w:r w:rsidRPr="00DC0250">
        <w:rPr>
          <w:rFonts w:asciiTheme="majorHAnsi" w:hAnsiTheme="majorHAnsi" w:cstheme="majorHAnsi"/>
        </w:rPr>
        <w:br/>
        <w:t>Alterner les rangées d'arbres avec des bandes fleuries permanentes hébergeant les micro-</w:t>
      </w:r>
      <w:r w:rsidRPr="00DC0250">
        <w:rPr>
          <w:rFonts w:asciiTheme="majorHAnsi" w:hAnsiTheme="majorHAnsi" w:cstheme="majorHAnsi"/>
        </w:rPr>
        <w:t>guêpes</w:t>
      </w:r>
      <w:r w:rsidRPr="00DC0250">
        <w:rPr>
          <w:rFonts w:asciiTheme="majorHAnsi" w:hAnsiTheme="majorHAnsi" w:cstheme="majorHAnsi"/>
        </w:rPr>
        <w:t xml:space="preserve"> parasitant les ravageurs. </w:t>
      </w:r>
    </w:p>
    <w:p w14:paraId="79EFD2D4"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La Royal Gala est très sensible au puceron, à la différence de Golden Rush et Pinova.</w:t>
      </w:r>
    </w:p>
    <w:p w14:paraId="2577C940" w14:textId="17689A7A" w:rsidR="00DC0250" w:rsidRDefault="00DC0250" w:rsidP="00DC0250">
      <w:pPr>
        <w:pStyle w:val="NormalWeb"/>
        <w:spacing w:before="0" w:beforeAutospacing="0" w:after="0" w:afterAutospacing="0"/>
        <w:jc w:val="both"/>
        <w:rPr>
          <w:rFonts w:asciiTheme="majorHAnsi" w:hAnsiTheme="majorHAnsi" w:cstheme="majorHAnsi"/>
        </w:rPr>
      </w:pPr>
    </w:p>
    <w:p w14:paraId="1CEC4601" w14:textId="686FD629" w:rsidR="00DC0250" w:rsidRDefault="00DC0250" w:rsidP="00DC0250">
      <w:pPr>
        <w:pStyle w:val="NormalWeb"/>
        <w:spacing w:before="0" w:beforeAutospacing="0" w:after="0" w:afterAutospacing="0"/>
        <w:jc w:val="both"/>
        <w:rPr>
          <w:rStyle w:val="lev"/>
          <w:rFonts w:asciiTheme="majorHAnsi" w:hAnsiTheme="majorHAnsi" w:cstheme="majorHAnsi"/>
        </w:rPr>
      </w:pPr>
      <w:r w:rsidRPr="00DC0250">
        <w:rPr>
          <w:rFonts w:asciiTheme="majorHAnsi" w:hAnsiTheme="majorHAnsi" w:cstheme="majorHAnsi"/>
        </w:rPr>
        <w:br/>
      </w:r>
      <w:r w:rsidRPr="00DC0250">
        <w:rPr>
          <w:rStyle w:val="lev"/>
          <w:rFonts w:asciiTheme="majorHAnsi" w:hAnsiTheme="majorHAnsi" w:cstheme="majorHAnsi"/>
          <w:i/>
          <w:iCs/>
        </w:rPr>
        <w:t>LE CARPOCAPSE</w:t>
      </w:r>
    </w:p>
    <w:p w14:paraId="38B73854"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L'idéal serait, à l'aide d'un mât, de couvrir l'arbre d'un filet à mailles de 4 mm x 4 mm.</w:t>
      </w:r>
    </w:p>
    <w:p w14:paraId="4A768768"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t xml:space="preserve"> </w:t>
      </w:r>
      <w:r w:rsidRPr="00DC0250">
        <w:rPr>
          <w:rFonts w:asciiTheme="majorHAnsi" w:hAnsiTheme="majorHAnsi" w:cstheme="majorHAnsi"/>
        </w:rPr>
        <w:br/>
        <w:t xml:space="preserve">Bon régulateur des carpocapses (1 h au crépuscule) : les chauves-souris (pipistrelles). Ménager des cavités et arbres creux. </w:t>
      </w:r>
    </w:p>
    <w:p w14:paraId="6131DA76"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Si le verger est assez grand (½ ha) et compact, utiliser la confusion sexuelle (diffuseurs à déposer fin avril 1 arbre sur 2). </w:t>
      </w:r>
    </w:p>
    <w:p w14:paraId="64F18810" w14:textId="40358B68"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r>
      <w:r w:rsidRPr="00DC0250">
        <w:rPr>
          <w:rFonts w:asciiTheme="majorHAnsi" w:hAnsiTheme="majorHAnsi" w:cstheme="majorHAnsi"/>
        </w:rPr>
        <w:br/>
      </w:r>
      <w:r w:rsidRPr="00DC0250">
        <w:rPr>
          <w:rStyle w:val="lev"/>
          <w:rFonts w:asciiTheme="majorHAnsi" w:hAnsiTheme="majorHAnsi" w:cstheme="majorHAnsi"/>
          <w:i/>
          <w:iCs/>
        </w:rPr>
        <w:t>LA TORDEUSE ORIENTALE DU PECHER OU “TOP”</w:t>
      </w:r>
    </w:p>
    <w:p w14:paraId="407CA7AA"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Même dégâts que le carpocapse (piqure et vers dans le fruit), mais en recrudescence depuis quelques années. Utiliser les filets et aussi la confusion sexuelle si le verger est assez grand.</w:t>
      </w:r>
    </w:p>
    <w:p w14:paraId="6A8C0540" w14:textId="7A707D74" w:rsidR="00DC0250" w:rsidRPr="00DC0250" w:rsidRDefault="00DC0250" w:rsidP="00DC0250">
      <w:pPr>
        <w:pStyle w:val="NormalWeb"/>
        <w:spacing w:before="0" w:beforeAutospacing="0" w:after="0" w:afterAutospacing="0"/>
        <w:jc w:val="both"/>
        <w:rPr>
          <w:rStyle w:val="lev"/>
          <w:rFonts w:asciiTheme="majorHAnsi" w:hAnsiTheme="majorHAnsi" w:cstheme="majorHAnsi"/>
          <w:i/>
          <w:iCs/>
        </w:rPr>
      </w:pPr>
      <w:r w:rsidRPr="00DC0250">
        <w:rPr>
          <w:rFonts w:asciiTheme="majorHAnsi" w:hAnsiTheme="majorHAnsi" w:cstheme="majorHAnsi"/>
        </w:rPr>
        <w:t xml:space="preserve"> </w:t>
      </w:r>
      <w:r w:rsidRPr="00DC0250">
        <w:rPr>
          <w:rFonts w:asciiTheme="majorHAnsi" w:hAnsiTheme="majorHAnsi" w:cstheme="majorHAnsi"/>
        </w:rPr>
        <w:br/>
      </w:r>
      <w:r w:rsidRPr="00DC0250">
        <w:rPr>
          <w:rFonts w:asciiTheme="majorHAnsi" w:hAnsiTheme="majorHAnsi" w:cstheme="majorHAnsi"/>
        </w:rPr>
        <w:br/>
      </w:r>
      <w:r w:rsidRPr="00DC0250">
        <w:rPr>
          <w:rStyle w:val="lev"/>
          <w:rFonts w:asciiTheme="majorHAnsi" w:hAnsiTheme="majorHAnsi" w:cstheme="majorHAnsi"/>
          <w:i/>
          <w:iCs/>
        </w:rPr>
        <w:t>INFORMATIONS ET BIBLIOGRAPHIE</w:t>
      </w:r>
    </w:p>
    <w:p w14:paraId="0F4CBC97"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le site Internet : “Arbo-Bio-Info” (Jean-Luc PETIT), abonnement annuel 10 €. (à noter qu'Atout Fruit est abonné à la version papier depuis plusieurs années). </w:t>
      </w:r>
    </w:p>
    <w:p w14:paraId="271604A7" w14:textId="77777777" w:rsidR="00DC0250" w:rsidRDefault="00DC0250" w:rsidP="00DC0250">
      <w:pPr>
        <w:pStyle w:val="NormalWeb"/>
        <w:spacing w:before="0" w:beforeAutospacing="0" w:after="0" w:afterAutospacing="0"/>
        <w:jc w:val="both"/>
        <w:rPr>
          <w:rFonts w:asciiTheme="majorHAnsi" w:hAnsiTheme="majorHAnsi" w:cstheme="majorHAnsi"/>
        </w:rPr>
      </w:pPr>
      <w:r w:rsidRPr="00DC0250">
        <w:rPr>
          <w:rFonts w:asciiTheme="majorHAnsi" w:hAnsiTheme="majorHAnsi" w:cstheme="majorHAnsi"/>
        </w:rPr>
        <w:br/>
        <w:t xml:space="preserve">Le livre “Le pré verger pour un développement durable” de Frédéric COULON, Philippe POINTEREAU et Isabelle MEIFFREIN, chez Solagro à Toulouse. </w:t>
      </w:r>
    </w:p>
    <w:p w14:paraId="7FAE46F4" w14:textId="77777777" w:rsidR="00DC0250" w:rsidRDefault="00DC0250" w:rsidP="00DC0250">
      <w:pPr>
        <w:pStyle w:val="NormalWeb"/>
        <w:spacing w:before="0" w:beforeAutospacing="0" w:after="0" w:afterAutospacing="0"/>
        <w:jc w:val="both"/>
        <w:rPr>
          <w:rFonts w:asciiTheme="majorHAnsi" w:hAnsiTheme="majorHAnsi" w:cstheme="majorHAnsi"/>
        </w:rPr>
      </w:pPr>
    </w:p>
    <w:p w14:paraId="186A9C18" w14:textId="12BD3531" w:rsidR="00D72462" w:rsidRPr="00DC0250" w:rsidRDefault="00DC0250" w:rsidP="00DC0250">
      <w:pPr>
        <w:pStyle w:val="NormalWeb"/>
        <w:spacing w:before="0" w:beforeAutospacing="0" w:after="0" w:afterAutospacing="0"/>
        <w:jc w:val="both"/>
        <w:rPr>
          <w:rFonts w:asciiTheme="majorHAnsi" w:hAnsiTheme="majorHAnsi" w:cstheme="majorHAnsi"/>
          <w:i/>
          <w:iCs/>
        </w:rPr>
      </w:pPr>
      <w:r w:rsidRPr="00DC0250">
        <w:rPr>
          <w:rFonts w:asciiTheme="majorHAnsi" w:hAnsiTheme="majorHAnsi" w:cstheme="majorHAnsi"/>
        </w:rPr>
        <w:br/>
      </w:r>
      <w:r w:rsidRPr="00DC0250">
        <w:rPr>
          <w:rFonts w:asciiTheme="majorHAnsi" w:hAnsiTheme="majorHAnsi" w:cstheme="majorHAnsi"/>
        </w:rPr>
        <w:br/>
      </w:r>
      <w:r w:rsidRPr="00DC0250">
        <w:rPr>
          <w:rFonts w:asciiTheme="majorHAnsi" w:hAnsiTheme="majorHAnsi" w:cstheme="majorHAnsi"/>
          <w:i/>
          <w:iCs/>
        </w:rPr>
        <w:t>Rédaction : Guy Jimenez</w:t>
      </w:r>
    </w:p>
    <w:p w14:paraId="240DDAF6" w14:textId="77777777" w:rsidR="00D72462" w:rsidRDefault="00D72462" w:rsidP="00AE17C0">
      <w:pPr>
        <w:pStyle w:val="NormalWeb"/>
        <w:rPr>
          <w:rFonts w:asciiTheme="majorHAnsi" w:hAnsiTheme="majorHAnsi" w:cstheme="majorHAnsi"/>
        </w:rPr>
      </w:pPr>
    </w:p>
    <w:sectPr w:rsidR="00D724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5502" w14:textId="77777777" w:rsidR="00A977D8" w:rsidRDefault="00A977D8" w:rsidP="00D87EB5">
      <w:pPr>
        <w:spacing w:after="0" w:line="240" w:lineRule="auto"/>
      </w:pPr>
      <w:r>
        <w:separator/>
      </w:r>
    </w:p>
  </w:endnote>
  <w:endnote w:type="continuationSeparator" w:id="0">
    <w:p w14:paraId="0EF742EB" w14:textId="77777777" w:rsidR="00A977D8" w:rsidRDefault="00A977D8"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FD216" w14:textId="77777777" w:rsidR="00A977D8" w:rsidRDefault="00A977D8" w:rsidP="00D87EB5">
      <w:pPr>
        <w:spacing w:after="0" w:line="240" w:lineRule="auto"/>
      </w:pPr>
      <w:r>
        <w:separator/>
      </w:r>
    </w:p>
  </w:footnote>
  <w:footnote w:type="continuationSeparator" w:id="0">
    <w:p w14:paraId="1CFCE5A2" w14:textId="77777777" w:rsidR="00A977D8" w:rsidRDefault="00A977D8"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0762314B" w:rsidR="00D87EB5" w:rsidRDefault="00D87EB5">
                          <w:pPr>
                            <w:spacing w:after="0" w:line="240" w:lineRule="auto"/>
                            <w:jc w:val="right"/>
                          </w:pPr>
                          <w:r>
                            <w:t xml:space="preserve">Association Atout Fruit – Compte rendu </w:t>
                          </w:r>
                          <w:r w:rsidR="002341C4">
                            <w:t>d</w:t>
                          </w:r>
                          <w:r w:rsidR="00896E4D">
                            <w:t>e visite</w:t>
                          </w:r>
                          <w:r>
                            <w:t xml:space="preserve"> – </w:t>
                          </w:r>
                          <w:r w:rsidR="00594CD3">
                            <w:t>1</w:t>
                          </w:r>
                          <w:r w:rsidR="00896E4D">
                            <w:t>0 juin 2011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0762314B" w:rsidR="00D87EB5" w:rsidRDefault="00D87EB5">
                    <w:pPr>
                      <w:spacing w:after="0" w:line="240" w:lineRule="auto"/>
                      <w:jc w:val="right"/>
                    </w:pPr>
                    <w:r>
                      <w:t xml:space="preserve">Association Atout Fruit – Compte rendu </w:t>
                    </w:r>
                    <w:r w:rsidR="002341C4">
                      <w:t>d</w:t>
                    </w:r>
                    <w:r w:rsidR="00896E4D">
                      <w:t>e visite</w:t>
                    </w:r>
                    <w:r>
                      <w:t xml:space="preserve"> – </w:t>
                    </w:r>
                    <w:r w:rsidR="00594CD3">
                      <w:t>1</w:t>
                    </w:r>
                    <w:r w:rsidR="00896E4D">
                      <w:t>0 juin 2011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371D65"/>
    <w:multiLevelType w:val="hybridMultilevel"/>
    <w:tmpl w:val="B946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22B7E"/>
    <w:multiLevelType w:val="hybridMultilevel"/>
    <w:tmpl w:val="7E68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E6E79"/>
    <w:multiLevelType w:val="hybridMultilevel"/>
    <w:tmpl w:val="F4EEE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CC6B93"/>
    <w:multiLevelType w:val="hybridMultilevel"/>
    <w:tmpl w:val="4600E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
  </w:num>
  <w:num w:numId="5">
    <w:abstractNumId w:val="7"/>
  </w:num>
  <w:num w:numId="6">
    <w:abstractNumId w:val="5"/>
  </w:num>
  <w:num w:numId="7">
    <w:abstractNumId w:val="0"/>
  </w:num>
  <w:num w:numId="8">
    <w:abstractNumId w:val="3"/>
  </w:num>
  <w:num w:numId="9">
    <w:abstractNumId w:val="11"/>
  </w:num>
  <w:num w:numId="10">
    <w:abstractNumId w:val="2"/>
  </w:num>
  <w:num w:numId="11">
    <w:abstractNumId w:val="13"/>
  </w:num>
  <w:num w:numId="12">
    <w:abstractNumId w:val="6"/>
  </w:num>
  <w:num w:numId="13">
    <w:abstractNumId w:val="8"/>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2341C4"/>
    <w:rsid w:val="00305068"/>
    <w:rsid w:val="004B0E93"/>
    <w:rsid w:val="00505A52"/>
    <w:rsid w:val="00594CD3"/>
    <w:rsid w:val="00647328"/>
    <w:rsid w:val="00676427"/>
    <w:rsid w:val="006B128E"/>
    <w:rsid w:val="007D7AF3"/>
    <w:rsid w:val="00826750"/>
    <w:rsid w:val="0083495D"/>
    <w:rsid w:val="00896E4D"/>
    <w:rsid w:val="00905900"/>
    <w:rsid w:val="0093345F"/>
    <w:rsid w:val="009B12C5"/>
    <w:rsid w:val="00A977D8"/>
    <w:rsid w:val="00AE17C0"/>
    <w:rsid w:val="00B275FB"/>
    <w:rsid w:val="00B51952"/>
    <w:rsid w:val="00C31507"/>
    <w:rsid w:val="00D52D1A"/>
    <w:rsid w:val="00D53954"/>
    <w:rsid w:val="00D72462"/>
    <w:rsid w:val="00D87EB5"/>
    <w:rsid w:val="00DC0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603344852">
      <w:bodyDiv w:val="1"/>
      <w:marLeft w:val="0"/>
      <w:marRight w:val="0"/>
      <w:marTop w:val="0"/>
      <w:marBottom w:val="0"/>
      <w:divBdr>
        <w:top w:val="none" w:sz="0" w:space="0" w:color="auto"/>
        <w:left w:val="none" w:sz="0" w:space="0" w:color="auto"/>
        <w:bottom w:val="none" w:sz="0" w:space="0" w:color="auto"/>
        <w:right w:val="none" w:sz="0" w:space="0" w:color="auto"/>
      </w:divBdr>
    </w:div>
    <w:div w:id="1777826412">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16</cp:revision>
  <dcterms:created xsi:type="dcterms:W3CDTF">2020-08-22T19:22:00Z</dcterms:created>
  <dcterms:modified xsi:type="dcterms:W3CDTF">2020-08-24T19:30:00Z</dcterms:modified>
</cp:coreProperties>
</file>